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BF" w:rsidRDefault="00E07EBF" w:rsidP="00E07EBF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E07EBF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</w:r>
      <w:r w:rsidRPr="00E07EBF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E07EBF" w:rsidRPr="00E07EBF" w:rsidRDefault="00E07EBF" w:rsidP="00E07EBF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E07EBF" w:rsidRPr="00E07EBF" w:rsidRDefault="00E07EBF" w:rsidP="00E07EBF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proofErr w:type="gramStart"/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Совершенствование знаний по исполнению требований по обеспечению транспортной безопасности по видам транспорта, в том числе требований к антитеррористической защищенности объектов (территорий), учитывающих уровни безопасности требования по обеспечению транспортной безопасности), и (или) повышение профессионального уровня в рамках имеющейся квалификации.</w:t>
      </w:r>
      <w:proofErr w:type="gramEnd"/>
    </w:p>
    <w:p w:rsidR="00E07EBF" w:rsidRPr="00E07EBF" w:rsidRDefault="00E07EBF" w:rsidP="00E07EBF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 Лица, ответственные за обеспечение транспортной безопасности на объекте транспортной инфраструктуры</w:t>
      </w:r>
    </w:p>
    <w:p w:rsidR="00E07EBF" w:rsidRPr="00E07EBF" w:rsidRDefault="00E07EBF" w:rsidP="00E07EBF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 24 часа</w:t>
      </w:r>
    </w:p>
    <w:p w:rsidR="00E07EBF" w:rsidRPr="00E07EBF" w:rsidRDefault="00E07EBF" w:rsidP="00E07EBF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 очная</w:t>
      </w:r>
    </w:p>
    <w:p w:rsidR="00E07EBF" w:rsidRPr="00E07EBF" w:rsidRDefault="00E07EBF" w:rsidP="00E07EBF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E07EBF" w:rsidRPr="00E07EBF" w:rsidRDefault="00E07EBF" w:rsidP="00E07EBF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Нормативная правовая база в области обеспечения транспортной безопасности.</w:t>
      </w:r>
    </w:p>
    <w:p w:rsidR="00E07EBF" w:rsidRPr="00E07EBF" w:rsidRDefault="00E07EBF" w:rsidP="00E07EBF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Реализация мер по обеспечению транспортной безопасности ОТИ и (или) ТС.</w:t>
      </w:r>
    </w:p>
    <w:p w:rsidR="00E07EBF" w:rsidRPr="00E07EBF" w:rsidRDefault="00E07EBF" w:rsidP="00E07EBF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Информационное обеспечение транспортной безопасности.</w:t>
      </w:r>
    </w:p>
    <w:p w:rsidR="00E07EBF" w:rsidRPr="00E07EBF" w:rsidRDefault="00E07EBF" w:rsidP="00E07EBF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Федеральный государственный контроль (надзор) в области транспортной безопасности, ответственность за нарушение требований в области транспортной безопасности, установленных в области обеспечения транспортной безопасности порядков и правил.</w:t>
      </w:r>
    </w:p>
    <w:p w:rsidR="00E07EBF" w:rsidRPr="00E07EBF" w:rsidRDefault="00E07EBF" w:rsidP="00E07EBF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000 руб.</w:t>
      </w:r>
    </w:p>
    <w:p w:rsidR="00E07EBF" w:rsidRPr="00E07EBF" w:rsidRDefault="00E07EBF" w:rsidP="00E07EBF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7EBF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E07EBF">
        <w:rPr>
          <w:rFonts w:eastAsia="Times New Roman" w:cstheme="minorHAnsi"/>
          <w:color w:val="000000"/>
          <w:sz w:val="24"/>
          <w:szCs w:val="24"/>
          <w:lang w:eastAsia="ru-RU"/>
        </w:rPr>
        <w:t> При выезде на предприятие стоимость образовательных услуг рассчитывается индивидуально.</w:t>
      </w:r>
    </w:p>
    <w:p w:rsidR="00E764CB" w:rsidRPr="00E07EBF" w:rsidRDefault="00E764CB" w:rsidP="00E07EBF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E07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74C85"/>
    <w:multiLevelType w:val="multilevel"/>
    <w:tmpl w:val="927C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756F31"/>
    <w:multiLevelType w:val="multilevel"/>
    <w:tmpl w:val="F116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40"/>
    <w:rsid w:val="00DF1340"/>
    <w:rsid w:val="00E07EBF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Company>Дом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2017-06-20T10:47:00Z</dcterms:created>
  <dcterms:modified xsi:type="dcterms:W3CDTF">2017-06-20T10:48:00Z</dcterms:modified>
</cp:coreProperties>
</file>